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3B" w:rsidRPr="00CF753B" w:rsidRDefault="00CF753B" w:rsidP="00CF7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Службен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весник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: 168/2020</w:t>
      </w:r>
    </w:p>
    <w:p w:rsidR="00CF753B" w:rsidRDefault="00CF753B" w:rsidP="00CF7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објава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Службен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весник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: 22.06.2020</w:t>
      </w:r>
    </w:p>
    <w:p w:rsidR="00CF753B" w:rsidRDefault="00CF753B" w:rsidP="00CF7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:rsidR="00CF753B" w:rsidRPr="00CF753B" w:rsidRDefault="00CF753B" w:rsidP="00CF7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bookmarkStart w:id="0" w:name="_GoBack"/>
      <w:bookmarkEnd w:id="0"/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ЗА ПРАВДА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Врз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основа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219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(3)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Законот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извршување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санкциите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Службен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весник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Северна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Македонија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. 99/19 и 220/19),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министерот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правда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донесе</w:t>
      </w:r>
      <w:proofErr w:type="spellEnd"/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ПРАВИЛНИК ЗА СОСТАВОТ НА КОМИСИЈАТА ЗА КОРИСТЕЊЕ НА ПОГОДНОСТИ, ВИДОТ И НАЧИНОТ НА КОРИСТЕЊЕ НА ПОГОДНОСТИТЕ НА ОСУДЕНИ ЛИЦА</w:t>
      </w: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пропишува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составот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користење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погодности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видот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начинот</w:t>
      </w:r>
      <w:proofErr w:type="spellEnd"/>
      <w:proofErr w:type="gram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користење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погодностите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користење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погодности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осудените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натамошниот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) е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составена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двајца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членови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нивни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заменици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раководителот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секторот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ресоцијализација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казнено-поправната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Членови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службено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секторот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ресоцијализација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службено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редот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стручни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раководни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припадници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затворска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полиција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казненопоправната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Доколку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службеното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секторот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ресоцијализација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третманската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група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доставило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предлогот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образложение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основаноста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користење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погодностите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тоа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тој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случај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службеното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иззема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постапката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одлучувањето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заменува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неговиот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заменик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F75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Уредување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животниот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простор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предмети</w:t>
      </w:r>
      <w:proofErr w:type="spellEnd"/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Уредувањето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животниот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простор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лични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предмети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состои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овозможување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уреди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животниот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простор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казнено-поправната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натамошниот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фотографии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слики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собно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цвеќе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предмети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сопствено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кебе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душек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постелнина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ТВ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апарат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аудио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апарати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радиоапарат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МП3)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изработило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своето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слободно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примерна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етичка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содржина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нарушува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функционалноста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животниот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простор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пречат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останатите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престојуваат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истата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просторија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спротивност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одредбите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Куќниот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Почесто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примање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пратки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примање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пратки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поголема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тежина</w:t>
      </w:r>
      <w:proofErr w:type="spellEnd"/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прима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една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пратка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повеќе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предвидениот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пратки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утврден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Куќниот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текот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еден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месец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чија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тежина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поголема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килограми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Примањето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пратки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поголема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тежина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состои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можноста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прими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една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пратка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повеќе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предвидениот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пратки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утврден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Куќниот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чија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тежина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поголема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килограми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Продолжени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посети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посети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без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надзор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просториите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установата</w:t>
      </w:r>
      <w:proofErr w:type="spellEnd"/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одобри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користење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продолжени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посети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траење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90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минути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деновите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предвидени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Куќниот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одобри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посета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надзор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просториите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траење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60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минути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деновите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предвидени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Куќниот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Телефонирање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без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надзор</w:t>
      </w:r>
      <w:proofErr w:type="spellEnd"/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одобри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телефонирање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надзор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најмногу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четири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пати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текот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месецот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определено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Куќниот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Престој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брачен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вонбрачен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другар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посебна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просторија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без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надзор</w:t>
      </w:r>
      <w:proofErr w:type="spellEnd"/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престојува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брачниот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вонбрачниот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другар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посебна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просторија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надзор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два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извршената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класификација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тоа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траење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120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минути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текот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еден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месец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деновите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предвидени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Куќниот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погодноста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ставот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стекне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доколку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достави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матична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книга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венчаните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престојува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вонбрачниот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другар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посебна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просторија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надзор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доколку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својот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вонбрачен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другар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изјава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своерачно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потпишува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текот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престојот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приемното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одделение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вонбрачниот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другар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треба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обезбеди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изјава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заверена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нотар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достави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Посети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надвор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просториите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четири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одобри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користење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посети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надвор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просториите</w:t>
      </w:r>
      <w:proofErr w:type="spellEnd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посетител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траење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четири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часа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текот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еден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месец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општината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каде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наоѓа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седиштето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Посетител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потесното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семејство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претходно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пријавено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картонот</w:t>
      </w:r>
      <w:proofErr w:type="spellEnd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посети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Слободен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излез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седум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одобри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слободен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излез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седум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часа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општината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каде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наоѓа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седиштето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местото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живеење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Отсуство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15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дена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текот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годината</w:t>
      </w:r>
      <w:proofErr w:type="spellEnd"/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одобри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отсуство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дена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текот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годината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местото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живеење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друго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претходно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најавил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тоа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отсуството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текот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месецот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подолго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дена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Целосно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делумно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користење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одморот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надвор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установата</w:t>
      </w:r>
      <w:proofErr w:type="spellEnd"/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11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целосно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делумно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користи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одморот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надвор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доколку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непрекинато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работно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ангажирано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повеќе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шест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Бројот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денови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користи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првиот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одморот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proofErr w:type="gram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помал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дена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користи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погодноста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ставот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местото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живеење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друго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претходно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најавил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12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lastRenderedPageBreak/>
        <w:t>Со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денот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влегувањето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сила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престанува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важи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Правилникот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начинот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користење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погодности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осудени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(,</w:t>
      </w:r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Службен</w:t>
      </w:r>
      <w:proofErr w:type="spellEnd"/>
      <w:proofErr w:type="gram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весник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Македонија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“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173/11).</w:t>
      </w:r>
      <w:proofErr w:type="gramEnd"/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53B" w:rsidRPr="00CF753B" w:rsidRDefault="00CF753B" w:rsidP="00CF753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CF7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13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753B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влегува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сила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наредниот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ден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денот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објавувањето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Службен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весник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Северна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3B">
        <w:rPr>
          <w:rFonts w:ascii="Times New Roman" w:eastAsia="Times New Roman" w:hAnsi="Times New Roman" w:cs="Times New Roman"/>
          <w:sz w:val="24"/>
          <w:szCs w:val="24"/>
        </w:rPr>
        <w:t>Македонија</w:t>
      </w:r>
      <w:proofErr w:type="spellEnd"/>
      <w:r w:rsidRPr="00CF753B">
        <w:rPr>
          <w:rFonts w:ascii="Times New Roman" w:eastAsia="Times New Roman" w:hAnsi="Times New Roman" w:cs="Times New Roman"/>
          <w:sz w:val="24"/>
          <w:szCs w:val="24"/>
        </w:rPr>
        <w:t>”.</w:t>
      </w:r>
      <w:proofErr w:type="gramEnd"/>
      <w:r w:rsidRPr="00CF75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753B" w:rsidRPr="00CF753B" w:rsidRDefault="00CF753B" w:rsidP="00CF753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4200"/>
      </w:tblGrid>
      <w:tr w:rsidR="00CF753B" w:rsidRPr="00CF753B" w:rsidTr="00CF753B">
        <w:trPr>
          <w:trHeight w:val="285"/>
        </w:trPr>
        <w:tc>
          <w:tcPr>
            <w:tcW w:w="4080" w:type="dxa"/>
            <w:shd w:val="clear" w:color="auto" w:fill="auto"/>
            <w:vAlign w:val="center"/>
            <w:hideMark/>
          </w:tcPr>
          <w:p w:rsidR="00CF753B" w:rsidRPr="00CF753B" w:rsidRDefault="00CF753B" w:rsidP="00CF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>. 01-1599/3</w:t>
            </w:r>
          </w:p>
        </w:tc>
        <w:tc>
          <w:tcPr>
            <w:tcW w:w="4080" w:type="dxa"/>
            <w:shd w:val="clear" w:color="auto" w:fill="auto"/>
            <w:vAlign w:val="center"/>
            <w:hideMark/>
          </w:tcPr>
          <w:p w:rsidR="00CF753B" w:rsidRPr="00CF753B" w:rsidRDefault="00CF753B" w:rsidP="00CF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53B" w:rsidRPr="00CF753B" w:rsidTr="00CF753B">
        <w:trPr>
          <w:trHeight w:val="270"/>
        </w:trPr>
        <w:tc>
          <w:tcPr>
            <w:tcW w:w="4080" w:type="dxa"/>
            <w:shd w:val="clear" w:color="auto" w:fill="auto"/>
            <w:vAlign w:val="center"/>
            <w:hideMark/>
          </w:tcPr>
          <w:p w:rsidR="00CF753B" w:rsidRPr="00CF753B" w:rsidRDefault="00CF753B" w:rsidP="00CF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>јуни</w:t>
            </w:r>
            <w:proofErr w:type="spellEnd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0" w:type="dxa"/>
            <w:shd w:val="clear" w:color="auto" w:fill="auto"/>
            <w:vAlign w:val="center"/>
            <w:hideMark/>
          </w:tcPr>
          <w:p w:rsidR="00CF753B" w:rsidRPr="00CF753B" w:rsidRDefault="00CF753B" w:rsidP="00CF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</w:t>
            </w:r>
            <w:proofErr w:type="spellEnd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</w:t>
            </w:r>
            <w:proofErr w:type="spellEnd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F753B" w:rsidRPr="00CF753B" w:rsidTr="00CF753B">
        <w:trPr>
          <w:trHeight w:val="270"/>
        </w:trPr>
        <w:tc>
          <w:tcPr>
            <w:tcW w:w="4080" w:type="dxa"/>
            <w:shd w:val="clear" w:color="auto" w:fill="auto"/>
            <w:vAlign w:val="center"/>
            <w:hideMark/>
          </w:tcPr>
          <w:p w:rsidR="00CF753B" w:rsidRPr="00CF753B" w:rsidRDefault="00CF753B" w:rsidP="00CF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>Скопје</w:t>
            </w:r>
            <w:proofErr w:type="spellEnd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0" w:type="dxa"/>
            <w:shd w:val="clear" w:color="auto" w:fill="auto"/>
            <w:vAlign w:val="center"/>
            <w:hideMark/>
          </w:tcPr>
          <w:p w:rsidR="00CF753B" w:rsidRPr="00CF753B" w:rsidRDefault="00CF753B" w:rsidP="00CF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>Рената</w:t>
            </w:r>
            <w:proofErr w:type="spellEnd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>Дескоска</w:t>
            </w:r>
            <w:proofErr w:type="spellEnd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CF75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2405A" w:rsidRDefault="0022405A"/>
    <w:sectPr w:rsidR="00224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3B"/>
    <w:rsid w:val="0022405A"/>
    <w:rsid w:val="008B105A"/>
    <w:rsid w:val="00C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Анѓеловска</dc:creator>
  <cp:lastModifiedBy>Александра Анѓеловска</cp:lastModifiedBy>
  <cp:revision>1</cp:revision>
  <dcterms:created xsi:type="dcterms:W3CDTF">2020-11-18T14:41:00Z</dcterms:created>
  <dcterms:modified xsi:type="dcterms:W3CDTF">2020-11-18T14:41:00Z</dcterms:modified>
</cp:coreProperties>
</file>